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03" w:rsidRDefault="00305EDA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</w:p>
    <w:p w:rsidR="00305EDA" w:rsidRPr="00305EDA" w:rsidRDefault="00E31A03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305EDA"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305EDA" w:rsidRPr="00305EDA">
        <w:rPr>
          <w:rFonts w:ascii="Times New Roman" w:hAnsi="Times New Roman" w:cs="Times New Roman"/>
          <w:sz w:val="20"/>
          <w:szCs w:val="20"/>
          <w:lang w:val="en-US"/>
        </w:rPr>
        <w:t>Anexa</w:t>
      </w:r>
      <w:proofErr w:type="spellEnd"/>
    </w:p>
    <w:p w:rsidR="00305EDA" w:rsidRDefault="00305EDA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 La </w:t>
      </w:r>
      <w:proofErr w:type="spellStart"/>
      <w:proofErr w:type="gramStart"/>
      <w:r w:rsidRPr="00305EDA">
        <w:rPr>
          <w:rFonts w:ascii="Times New Roman" w:hAnsi="Times New Roman" w:cs="Times New Roman"/>
          <w:sz w:val="20"/>
          <w:szCs w:val="20"/>
          <w:lang w:val="en-US"/>
        </w:rPr>
        <w:t>Decizia</w:t>
      </w:r>
      <w:proofErr w:type="spellEnd"/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305EDA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proofErr w:type="gramEnd"/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0"/>
          <w:szCs w:val="20"/>
          <w:lang w:val="en-US"/>
        </w:rPr>
        <w:t>sătesc</w:t>
      </w:r>
      <w:proofErr w:type="spellEnd"/>
      <w:r w:rsidRPr="00305ED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</w:p>
    <w:p w:rsidR="00305EDA" w:rsidRDefault="00305EDA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</w:t>
      </w:r>
      <w:proofErr w:type="spellStart"/>
      <w:r w:rsidRPr="00305EDA">
        <w:rPr>
          <w:rFonts w:ascii="Times New Roman" w:hAnsi="Times New Roman" w:cs="Times New Roman"/>
          <w:sz w:val="20"/>
          <w:szCs w:val="20"/>
          <w:lang w:val="en-US"/>
        </w:rPr>
        <w:t>Frumnoasa</w:t>
      </w:r>
      <w:proofErr w:type="spellEnd"/>
      <w:r w:rsidR="00092142">
        <w:rPr>
          <w:rFonts w:ascii="Times New Roman" w:hAnsi="Times New Roman" w:cs="Times New Roman"/>
          <w:sz w:val="20"/>
          <w:szCs w:val="20"/>
          <w:lang w:val="en-US"/>
        </w:rPr>
        <w:t xml:space="preserve"> nr 01/06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din </w:t>
      </w:r>
      <w:r w:rsidR="008F24B5">
        <w:rPr>
          <w:rFonts w:ascii="Times New Roman" w:hAnsi="Times New Roman" w:cs="Times New Roman"/>
          <w:sz w:val="20"/>
          <w:szCs w:val="20"/>
          <w:lang w:val="en-US"/>
        </w:rPr>
        <w:t>10</w:t>
      </w:r>
      <w:r>
        <w:rPr>
          <w:rFonts w:ascii="Times New Roman" w:hAnsi="Times New Roman" w:cs="Times New Roman"/>
          <w:sz w:val="20"/>
          <w:szCs w:val="20"/>
          <w:lang w:val="en-US"/>
        </w:rPr>
        <w:t>.02.2017</w:t>
      </w:r>
    </w:p>
    <w:p w:rsidR="00305EDA" w:rsidRDefault="00305EDA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05EDA" w:rsidRPr="00305EDA" w:rsidRDefault="00305EDA" w:rsidP="0030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</w:t>
      </w:r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</w:p>
    <w:p w:rsidR="00305EDA" w:rsidRPr="00305EDA" w:rsidRDefault="00305EDA" w:rsidP="0030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proofErr w:type="gram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acordare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evidiență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polițelor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asigurare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obligatorie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asistență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medical,</w:t>
      </w:r>
      <w:r w:rsidR="00F429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acordate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APL 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305E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2017”.</w:t>
      </w:r>
    </w:p>
    <w:p w:rsidR="00305EDA" w:rsidRDefault="00305EDA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305EDA" w:rsidRPr="00F4292F" w:rsidRDefault="00F4292F" w:rsidP="0030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</w:t>
      </w:r>
      <w:r w:rsidR="00305EDA" w:rsidRPr="00F429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I  DISPOZIȚII   GENERALE</w:t>
      </w:r>
    </w:p>
    <w:p w:rsidR="00305EDA" w:rsidRDefault="00305EDA" w:rsidP="00305E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305EDA" w:rsidRDefault="00305EDA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5EDA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acordare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evidiență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polițelor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obligatorie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medical,acordate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5EDA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05EDA">
        <w:rPr>
          <w:rFonts w:ascii="Times New Roman" w:hAnsi="Times New Roman" w:cs="Times New Roman"/>
          <w:sz w:val="24"/>
          <w:szCs w:val="24"/>
          <w:lang w:val="en-US"/>
        </w:rPr>
        <w:t xml:space="preserve"> APL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2017”</w:t>
      </w:r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elaborate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 1585 – XIII din 27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1998  cu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obligatory de </w:t>
      </w:r>
      <w:proofErr w:type="spellStart"/>
      <w:r w:rsidR="000159E5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0159E5">
        <w:rPr>
          <w:rFonts w:ascii="Times New Roman" w:hAnsi="Times New Roman" w:cs="Times New Roman"/>
          <w:sz w:val="24"/>
          <w:szCs w:val="24"/>
          <w:lang w:val="en-US"/>
        </w:rPr>
        <w:t xml:space="preserve"> medical.</w:t>
      </w:r>
    </w:p>
    <w:p w:rsidR="000159E5" w:rsidRDefault="000159E5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Polița  de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obligatory  de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 medical  se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social 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costisitor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staționar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cirurgicală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EE1">
        <w:rPr>
          <w:rFonts w:ascii="Times New Roman" w:hAnsi="Times New Roman" w:cs="Times New Roman"/>
          <w:sz w:val="24"/>
          <w:szCs w:val="24"/>
          <w:lang w:val="en-US"/>
        </w:rPr>
        <w:t>neplătită</w:t>
      </w:r>
      <w:proofErr w:type="spellEnd"/>
      <w:r w:rsidR="007C1E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EE1" w:rsidRDefault="007C1EE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medical,prevăzut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asigurărilor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medical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acordat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prestatorii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Moldova,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contractați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de CNAM. </w:t>
      </w:r>
      <w:proofErr w:type="spellStart"/>
      <w:proofErr w:type="gramStart"/>
      <w:r w:rsidR="00A31321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asigurată</w:t>
      </w:r>
      <w:proofErr w:type="spellEnd"/>
      <w:proofErr w:type="gram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obligată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păstreze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polița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="00A31321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="00A313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Poliț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prestatorul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medicale,contractat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CNAM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dovadă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CNAM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evidiență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efectivă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personae.</w:t>
      </w:r>
    </w:p>
    <w:p w:rsid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1321" w:rsidRPr="00F4292F" w:rsidRDefault="00A31321" w:rsidP="0030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29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II. </w:t>
      </w:r>
      <w:proofErr w:type="gramStart"/>
      <w:r w:rsidRPr="00F4292F">
        <w:rPr>
          <w:rFonts w:ascii="Times New Roman" w:hAnsi="Times New Roman" w:cs="Times New Roman"/>
          <w:b/>
          <w:sz w:val="24"/>
          <w:szCs w:val="24"/>
          <w:lang w:val="en-US"/>
        </w:rPr>
        <w:t>MODULUL  DE</w:t>
      </w:r>
      <w:proofErr w:type="gramEnd"/>
      <w:r w:rsidRPr="00F429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ACORDARE A POLIȚEI DE ASIGURARE OBLIGATORIE DE    </w:t>
      </w:r>
    </w:p>
    <w:p w:rsidR="00A31321" w:rsidRPr="00F4292F" w:rsidRDefault="00A31321" w:rsidP="0030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29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ASISTENȚĂ MEDICALĂ</w:t>
      </w:r>
    </w:p>
    <w:p w:rsid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1321" w:rsidRPr="00A31321" w:rsidRDefault="00A31321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Polița de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asigurare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acordată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către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Administrația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Publică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Locală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se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va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elibera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persoanelor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socialmente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vulnerabile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în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cazurile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îmbolnăvire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gravă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accidente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plasament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în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regim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urgență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persoanelor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fără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adăpost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sau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în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funcție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de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atribuirea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persoanei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la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una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din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următoarele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categorii</w:t>
      </w:r>
      <w:proofErr w:type="spellEnd"/>
      <w:r w:rsidRPr="00A3132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305EDA" w:rsidRDefault="000C066C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C066C">
        <w:rPr>
          <w:rFonts w:ascii="Times New Roman" w:hAnsi="Times New Roman" w:cs="Times New Roman"/>
          <w:sz w:val="24"/>
          <w:szCs w:val="24"/>
          <w:lang w:val="ro-RO"/>
        </w:rPr>
        <w:t>a) persoane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fără venituri  sau cu venituri mici (cu excepția persoanelor enumerate la litera d)</w:t>
      </w:r>
    </w:p>
    <w:p w:rsidR="000C066C" w:rsidRDefault="000C066C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persoane social vulnerabile ( lipsite de locuință)</w:t>
      </w:r>
    </w:p>
    <w:p w:rsidR="000C066C" w:rsidRDefault="000C066C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persoane aflate în dificultate (eliberate din detenție,victime ale traficului de ființe umane, tineri peste 18 ani care părăsesc sistemul de stat de protecție a copilului)</w:t>
      </w:r>
    </w:p>
    <w:p w:rsidR="000C066C" w:rsidRDefault="000C066C" w:rsidP="00305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 persoane care nu se regăsesc în categoria de persoane neangajate  cu domiciliu în Republica Moldova și aflate la evidiența instituțiilor abilitate ale Republicii Moldova.</w:t>
      </w:r>
    </w:p>
    <w:p w:rsidR="000C066C" w:rsidRDefault="000C066C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Copii de vîrstă preșcolară.</w:t>
      </w:r>
    </w:p>
    <w:p w:rsidR="000C066C" w:rsidRDefault="000C066C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Elevi din învățămîntul primar, gimnazial, liceal și mediu de cultură generală.</w:t>
      </w:r>
    </w:p>
    <w:p w:rsidR="000C066C" w:rsidRDefault="000C066C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Elevii  din  învățămîntul secundar profesional,</w:t>
      </w:r>
    </w:p>
    <w:p w:rsidR="000C066C" w:rsidRDefault="000C066C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Elevii din învățămîntul mediu de specialitate ( colegii) cu învățămînt de zi;</w:t>
      </w:r>
    </w:p>
    <w:p w:rsidR="000C066C" w:rsidRDefault="000C066C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Studenții din  învățămîntul superior universitar cu învățămînt de zi, inclusiv cei care își fac studiile peste hotarele țării;</w:t>
      </w:r>
    </w:p>
    <w:p w:rsidR="000C066C" w:rsidRDefault="000C066C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Rezidenții învățămîntului  postuniversitar obligatoriu și doctoran</w:t>
      </w:r>
      <w:r w:rsidR="00855968">
        <w:rPr>
          <w:rFonts w:ascii="Times New Roman" w:hAnsi="Times New Roman" w:cs="Times New Roman"/>
          <w:sz w:val="24"/>
          <w:szCs w:val="24"/>
          <w:lang w:val="ro-RO"/>
        </w:rPr>
        <w:t>ții la cursuri de zi, inclusiv cei care își fac studiile peste hotarele țării.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Copii neîcadrați la învățătură pînă la  împlinirea vîrstei de 18 ani;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Gravidele,parturientele și lăuzele.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Persoanele cu dizabilități severe,accentuate sau medii.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Pensionari,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șomeri înregistrați la agențiile teritoriale pentru ocuparea forței de muncă;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Persoanele care îngrijesc la domiciliu o persoană cu dizabilitate severă care necesită îngrijire și sau supraveghere  permanentă din partea altei persoane.</w:t>
      </w:r>
    </w:p>
    <w:p w:rsidR="00F4292F" w:rsidRDefault="00F4292F" w:rsidP="00F4292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Mame cu patru și mai mulți copii,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Persoanele din familiile defavorizate  care benificiază de ajutor social conform Legii nr.133-XVI din 13 iunie 2008 cu privire la ajutorul social,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Străini beneficiari ai unei forme de protecție incluși într-un program de integrare,în perioada desfășurării  acestuia.</w:t>
      </w:r>
    </w:p>
    <w:p w:rsidR="00855968" w:rsidRDefault="00855968" w:rsidP="000C06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 Pentru a obține polița de asigurare medicală titularul acestui  drept ( rudele) se adresează la Primărie  la asistență socială</w:t>
      </w:r>
      <w:r w:rsidR="00DE22EA">
        <w:rPr>
          <w:rFonts w:ascii="Times New Roman" w:hAnsi="Times New Roman" w:cs="Times New Roman"/>
          <w:sz w:val="24"/>
          <w:szCs w:val="24"/>
          <w:lang w:val="ro-RO"/>
        </w:rPr>
        <w:t>, prezentînd următoarele acte și documente justificative.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Cererea în scris de a i se acorda polița de asigurare medicală, cu descrierea detaliată a circumstanțelor stării materiale în care se află.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Ancheta socială,întocmită de organul local de asistență socială de comun cu APL, care confirmă starea socială,condițiile de trai și venitul global al familiei.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Certificatul medica</w:t>
      </w:r>
      <w:r w:rsidR="008F24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l9CMC), eliberat gratis de instituțiile medicale,care confirmă starea sănătății solicitantului și întrunește condițiile prezentului Regulament.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Buletinul de identitate ce identifică persoana solicitantă.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despre componența familiei,eliberat de către APL.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inițială, efectuată de către asistentul social din localitate.</w:t>
      </w:r>
    </w:p>
    <w:p w:rsidR="00DE22EA" w:rsidRDefault="00DE22EA" w:rsidP="00DE2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Demers al Comisiei de administrare a polițelor de asigurare medicală/Autoritatea Publică Locală,către agenția teritorială  Ungheni de asigurări obligatorii de asistență medicală, reprezentanța Călărași.</w:t>
      </w:r>
    </w:p>
    <w:p w:rsidR="00DE22EA" w:rsidRDefault="00DE22EA" w:rsidP="00DE22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4292F" w:rsidRPr="00F4292F" w:rsidRDefault="00DE22EA" w:rsidP="00F42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29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IV: EVIDIENȚA POLIȚELOR DE ASIGURARE OBLIGATORIE DE ASISTENȚĂ  </w:t>
      </w:r>
      <w:r w:rsidR="00F4292F" w:rsidRPr="00F429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DE22EA" w:rsidRPr="00F4292F" w:rsidRDefault="00F4292F" w:rsidP="00F42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29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</w:t>
      </w:r>
      <w:r w:rsidR="00DE22EA" w:rsidRPr="00F4292F">
        <w:rPr>
          <w:rFonts w:ascii="Times New Roman" w:hAnsi="Times New Roman" w:cs="Times New Roman"/>
          <w:b/>
          <w:sz w:val="24"/>
          <w:szCs w:val="24"/>
          <w:lang w:val="ro-RO"/>
        </w:rPr>
        <w:t>MEDICALĂ</w:t>
      </w:r>
      <w:r w:rsidR="003E2AC8" w:rsidRPr="00F4292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3E2AC8" w:rsidRDefault="003E2AC8" w:rsidP="00DE22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81AEB" w:rsidRDefault="003E2AC8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2AC8">
        <w:rPr>
          <w:rFonts w:ascii="Times New Roman" w:hAnsi="Times New Roman" w:cs="Times New Roman"/>
          <w:sz w:val="24"/>
          <w:szCs w:val="24"/>
          <w:lang w:val="ro-RO"/>
        </w:rPr>
        <w:t xml:space="preserve">8.Înregistrarea și evidența polițelor de asigurare medicală acordate de către  primărie APL se </w:t>
      </w:r>
    </w:p>
    <w:p w:rsidR="00D81AEB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E2AC8" w:rsidRPr="003E2AC8">
        <w:rPr>
          <w:rFonts w:ascii="Times New Roman" w:hAnsi="Times New Roman" w:cs="Times New Roman"/>
          <w:sz w:val="24"/>
          <w:szCs w:val="24"/>
          <w:lang w:val="ro-RO"/>
        </w:rPr>
        <w:t xml:space="preserve">efectuează de către Comisia de administrare a polițelor de asigurare medicală/ Autoritatea </w:t>
      </w:r>
    </w:p>
    <w:p w:rsidR="003E2AC8" w:rsidRPr="003E2AC8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E2AC8" w:rsidRPr="003E2AC8">
        <w:rPr>
          <w:rFonts w:ascii="Times New Roman" w:hAnsi="Times New Roman" w:cs="Times New Roman"/>
          <w:sz w:val="24"/>
          <w:szCs w:val="24"/>
          <w:lang w:val="ro-RO"/>
        </w:rPr>
        <w:t>publică Locală.</w:t>
      </w:r>
    </w:p>
    <w:p w:rsidR="00D81AEB" w:rsidRDefault="003E2AC8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2AC8"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Responsabil de administrarea și evidență  polițelor de asigurare medicală este comisia socială </w:t>
      </w:r>
    </w:p>
    <w:p w:rsidR="003E2AC8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E2AC8">
        <w:rPr>
          <w:rFonts w:ascii="Times New Roman" w:hAnsi="Times New Roman" w:cs="Times New Roman"/>
          <w:sz w:val="24"/>
          <w:szCs w:val="24"/>
          <w:lang w:val="ro-RO"/>
        </w:rPr>
        <w:t>din teritoriu.</w:t>
      </w:r>
    </w:p>
    <w:p w:rsidR="003E2AC8" w:rsidRDefault="003E2AC8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 Activitatea comisiei de administrare este condusă, de regulă, de către primarul localității.</w:t>
      </w:r>
    </w:p>
    <w:p w:rsidR="00D81AEB" w:rsidRDefault="003E2AC8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11. Forma de activitate a comisiei de administrare este ședință, care se consideră </w:t>
      </w:r>
    </w:p>
    <w:p w:rsidR="00D81AEB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E2AC8">
        <w:rPr>
          <w:rFonts w:ascii="Times New Roman" w:hAnsi="Times New Roman" w:cs="Times New Roman"/>
          <w:sz w:val="24"/>
          <w:szCs w:val="24"/>
          <w:lang w:val="ro-RO"/>
        </w:rPr>
        <w:t xml:space="preserve">deliberativă,dacă la ea participă majoritatea simplă a membrilor,Ședințele comisiei de </w:t>
      </w:r>
    </w:p>
    <w:p w:rsidR="003E2AC8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E2AC8">
        <w:rPr>
          <w:rFonts w:ascii="Times New Roman" w:hAnsi="Times New Roman" w:cs="Times New Roman"/>
          <w:sz w:val="24"/>
          <w:szCs w:val="24"/>
          <w:lang w:val="ro-RO"/>
        </w:rPr>
        <w:t>administrare se convoacă în funcție de necesități, dar nu mai rar de o dată pe lună.</w:t>
      </w:r>
    </w:p>
    <w:p w:rsidR="00D81AEB" w:rsidRDefault="001B786C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12. </w:t>
      </w:r>
      <w:r w:rsidRPr="00092142">
        <w:rPr>
          <w:rFonts w:ascii="Times New Roman" w:hAnsi="Times New Roman" w:cs="Times New Roman"/>
          <w:sz w:val="24"/>
          <w:szCs w:val="24"/>
          <w:u w:val="single"/>
          <w:lang w:val="ro-RO"/>
        </w:rPr>
        <w:t>Responsabil pentru organizarea și starea evidenței polițelor de asigurare este primarul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81AEB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 xml:space="preserve">Numirea persoanei  responsabile de completarea dosarului, înregistrarea și evidiența polițelor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1B786C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>de asigurare și obligațiunile acestora se stabilesc prin dispoziție.</w:t>
      </w:r>
    </w:p>
    <w:p w:rsidR="00D81AEB" w:rsidRDefault="001B786C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13. În caz de urgență președintele comisiei prin dispoziție  dispune eliberarea poliței cu </w:t>
      </w:r>
    </w:p>
    <w:p w:rsidR="001B786C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>prezentare ulterioară și aprobarea la ședința comisiei.</w:t>
      </w:r>
    </w:p>
    <w:p w:rsidR="00D81AEB" w:rsidRDefault="001B786C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14.Prezentul regulament prevede mobilizarea APL la oferirea de posibilitate persoanelor social </w:t>
      </w:r>
    </w:p>
    <w:p w:rsidR="00D81AEB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 xml:space="preserve">vulnerabile și aflate în deficultate la asigurarea medicală. În caz de neonorare a prevederilor </w:t>
      </w:r>
    </w:p>
    <w:p w:rsidR="00D81AEB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 xml:space="preserve">prezentului Regulament de către APL, comisia este în drept de a direcționa cazul către APL </w:t>
      </w:r>
    </w:p>
    <w:p w:rsidR="001B786C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>pentru soluționarea cazului.</w:t>
      </w:r>
    </w:p>
    <w:p w:rsidR="00D81AEB" w:rsidRPr="00092142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15. </w:t>
      </w:r>
      <w:r w:rsidRPr="00092142">
        <w:rPr>
          <w:rFonts w:ascii="Times New Roman" w:hAnsi="Times New Roman" w:cs="Times New Roman"/>
          <w:sz w:val="24"/>
          <w:szCs w:val="24"/>
          <w:u w:val="single"/>
          <w:lang w:val="ro-RO"/>
        </w:rPr>
        <w:t>Sursele  financiare pentru  procurarea  polițelor  vor fi  alocate  din  Fondul de rezervaă.</w:t>
      </w:r>
    </w:p>
    <w:p w:rsidR="00D81AEB" w:rsidRDefault="001B786C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81AEB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Toate polițele de asigurare obligatorie de asistență medicală, se înregistrează în registrele de </w:t>
      </w:r>
    </w:p>
    <w:p w:rsidR="00D81AEB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 xml:space="preserve">evidență a polițelor de asigurare obligatorie de asistență medicală, conform modelului stabilit </w:t>
      </w:r>
    </w:p>
    <w:p w:rsidR="00F4292F" w:rsidRDefault="00D81AEB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>în anexa</w:t>
      </w:r>
      <w:r w:rsidR="00F429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786C">
        <w:rPr>
          <w:rFonts w:ascii="Times New Roman" w:hAnsi="Times New Roman" w:cs="Times New Roman"/>
          <w:sz w:val="24"/>
          <w:szCs w:val="24"/>
          <w:lang w:val="ro-RO"/>
        </w:rPr>
        <w:t xml:space="preserve"> nr. 1</w:t>
      </w:r>
      <w:r w:rsidR="00F429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4292F" w:rsidRPr="003E2AC8" w:rsidRDefault="00F4292F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ANEXA   1</w:t>
      </w:r>
    </w:p>
    <w:tbl>
      <w:tblPr>
        <w:tblStyle w:val="a4"/>
        <w:tblW w:w="0" w:type="auto"/>
        <w:tblLook w:val="04A0"/>
      </w:tblPr>
      <w:tblGrid>
        <w:gridCol w:w="534"/>
        <w:gridCol w:w="2651"/>
        <w:gridCol w:w="1610"/>
        <w:gridCol w:w="1591"/>
        <w:gridCol w:w="1592"/>
        <w:gridCol w:w="1593"/>
      </w:tblGrid>
      <w:tr w:rsidR="00F4292F" w:rsidRPr="00D81AEB" w:rsidTr="00F4292F">
        <w:tc>
          <w:tcPr>
            <w:tcW w:w="534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Nr</w:t>
            </w:r>
          </w:p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65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Nume,Prenume</w:t>
            </w: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Data,luna,anul nașterii</w:t>
            </w: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IDNP</w:t>
            </w: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Diagnoza</w:t>
            </w:r>
          </w:p>
        </w:tc>
        <w:tc>
          <w:tcPr>
            <w:tcW w:w="159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81AEB">
              <w:rPr>
                <w:rFonts w:ascii="Times New Roman" w:hAnsi="Times New Roman" w:cs="Times New Roman"/>
                <w:b/>
                <w:lang w:val="ro-RO"/>
              </w:rPr>
              <w:t>Data eliberării poliței</w:t>
            </w:r>
          </w:p>
        </w:tc>
      </w:tr>
      <w:tr w:rsidR="00F4292F" w:rsidRPr="00D81AEB" w:rsidTr="00F4292F">
        <w:tc>
          <w:tcPr>
            <w:tcW w:w="534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5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4292F" w:rsidRPr="00D81AEB" w:rsidTr="00F4292F">
        <w:tc>
          <w:tcPr>
            <w:tcW w:w="534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5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4292F" w:rsidRPr="00D81AEB" w:rsidTr="00F4292F">
        <w:tc>
          <w:tcPr>
            <w:tcW w:w="534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5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4292F" w:rsidRPr="00D81AEB" w:rsidTr="00F4292F">
        <w:tc>
          <w:tcPr>
            <w:tcW w:w="534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5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5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6" w:type="dxa"/>
          </w:tcPr>
          <w:p w:rsidR="00F4292F" w:rsidRPr="00D81AEB" w:rsidRDefault="00F4292F" w:rsidP="003E2A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1B786C" w:rsidRPr="00D81AEB" w:rsidRDefault="001B786C" w:rsidP="003E2AC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4292F" w:rsidRDefault="00F4292F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4292F" w:rsidRPr="003E2AC8" w:rsidRDefault="00F4292F" w:rsidP="003E2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Primarul satului:                                 Movileanu  Gheorghe</w:t>
      </w:r>
    </w:p>
    <w:sectPr w:rsidR="00F4292F" w:rsidRPr="003E2AC8" w:rsidSect="00F4292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334"/>
    <w:multiLevelType w:val="hybridMultilevel"/>
    <w:tmpl w:val="DAF20E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964E5"/>
    <w:multiLevelType w:val="hybridMultilevel"/>
    <w:tmpl w:val="DDD025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C7E3B"/>
    <w:multiLevelType w:val="hybridMultilevel"/>
    <w:tmpl w:val="B662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EDA"/>
    <w:rsid w:val="000159E5"/>
    <w:rsid w:val="00092142"/>
    <w:rsid w:val="000C066C"/>
    <w:rsid w:val="0019156C"/>
    <w:rsid w:val="001B786C"/>
    <w:rsid w:val="00305EDA"/>
    <w:rsid w:val="003E2AC8"/>
    <w:rsid w:val="005B13DF"/>
    <w:rsid w:val="007C1EE1"/>
    <w:rsid w:val="00855968"/>
    <w:rsid w:val="008F24B5"/>
    <w:rsid w:val="00942427"/>
    <w:rsid w:val="00A31321"/>
    <w:rsid w:val="00BA53DD"/>
    <w:rsid w:val="00D81AEB"/>
    <w:rsid w:val="00DE22EA"/>
    <w:rsid w:val="00E31A03"/>
    <w:rsid w:val="00E31C6B"/>
    <w:rsid w:val="00F4231C"/>
    <w:rsid w:val="00F4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EDA"/>
    <w:pPr>
      <w:ind w:left="720"/>
      <w:contextualSpacing/>
    </w:pPr>
  </w:style>
  <w:style w:type="table" w:styleId="a4">
    <w:name w:val="Table Grid"/>
    <w:basedOn w:val="a1"/>
    <w:uiPriority w:val="59"/>
    <w:rsid w:val="00F4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cp:lastPrinted>2017-01-26T09:15:00Z</cp:lastPrinted>
  <dcterms:created xsi:type="dcterms:W3CDTF">2017-02-07T12:31:00Z</dcterms:created>
  <dcterms:modified xsi:type="dcterms:W3CDTF">2017-02-13T11:57:00Z</dcterms:modified>
</cp:coreProperties>
</file>