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9511" w:type="dxa"/>
        <w:tblLook w:val="01E0"/>
      </w:tblPr>
      <w:tblGrid>
        <w:gridCol w:w="3170"/>
        <w:gridCol w:w="2661"/>
        <w:gridCol w:w="3680"/>
      </w:tblGrid>
      <w:tr w:rsidR="00D27FD0" w:rsidTr="00D27FD0">
        <w:trPr>
          <w:trHeight w:val="1560"/>
        </w:trPr>
        <w:tc>
          <w:tcPr>
            <w:tcW w:w="3170" w:type="dxa"/>
          </w:tcPr>
          <w:p w:rsidR="00D27FD0" w:rsidRDefault="00D27FD0">
            <w:pPr>
              <w:pStyle w:val="a3"/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661" w:type="dxa"/>
            <w:vAlign w:val="center"/>
            <w:hideMark/>
          </w:tcPr>
          <w:p w:rsidR="00D27FD0" w:rsidRDefault="00D27FD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:rsidR="00D27FD0" w:rsidRDefault="00D27FD0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</w:tr>
    </w:tbl>
    <w:p w:rsidR="00D27FD0" w:rsidRDefault="00D27FD0" w:rsidP="00D27FD0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REPUBLICA    MOLDOVA</w:t>
      </w:r>
    </w:p>
    <w:p w:rsidR="00D27FD0" w:rsidRDefault="00D27FD0" w:rsidP="00D27FD0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D27FD0" w:rsidRDefault="00D27FD0" w:rsidP="00D27FD0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D27FD0" w:rsidRDefault="00D27FD0" w:rsidP="00D27FD0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raionul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Calarasi</w:t>
      </w:r>
      <w:proofErr w:type="spellEnd"/>
      <w:r>
        <w:rPr>
          <w:sz w:val="24"/>
          <w:szCs w:val="24"/>
          <w:lang w:val="en-US" w:eastAsia="en-US"/>
        </w:rPr>
        <w:t xml:space="preserve"> </w:t>
      </w:r>
    </w:p>
    <w:p w:rsidR="00D27FD0" w:rsidRDefault="00D27FD0" w:rsidP="00D27FD0">
      <w:pPr>
        <w:pStyle w:val="a3"/>
        <w:rPr>
          <w:b/>
          <w:sz w:val="24"/>
          <w:szCs w:val="24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r>
        <w:rPr>
          <w:sz w:val="24"/>
          <w:szCs w:val="24"/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38-0-36</w:t>
      </w:r>
      <w:r>
        <w:rPr>
          <w:b/>
          <w:sz w:val="24"/>
          <w:szCs w:val="24"/>
          <w:u w:val="single"/>
          <w:lang w:val="en-US" w:eastAsia="en-US"/>
        </w:rPr>
        <w:t>_____________________________</w:t>
      </w:r>
    </w:p>
    <w:p w:rsidR="00D27FD0" w:rsidRDefault="00D27FD0" w:rsidP="00D27FD0">
      <w:pPr>
        <w:pStyle w:val="a3"/>
        <w:rPr>
          <w:lang w:val="en-US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 w:rsidR="00333588">
        <w:rPr>
          <w:rFonts w:ascii="Times New Roman" w:hAnsi="Times New Roman" w:cs="Times New Roman"/>
          <w:sz w:val="20"/>
          <w:lang w:val="en-US"/>
        </w:rPr>
        <w:t xml:space="preserve">                 </w:t>
      </w:r>
      <w:r>
        <w:rPr>
          <w:rFonts w:ascii="Times New Roman" w:hAnsi="Times New Roman" w:cs="Times New Roman"/>
          <w:sz w:val="20"/>
          <w:lang w:val="en-US"/>
        </w:rPr>
        <w:t xml:space="preserve">         </w:t>
      </w:r>
      <w:r w:rsidR="00521E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9B2805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D3197F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521E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0E50CC"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E2749C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Cu privire la stabilirea cotelor  concrete ale  impozitului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Pe  bunurile   imobiliare, aferente   bunurilor  imobiliare  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neevaluate  de  către organele cadastrale  teritoriale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pe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  teritoriul pri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măriei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 Frumoasa în anul 201</w:t>
      </w:r>
      <w:r w:rsidR="009B2805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val="ro-MO"/>
        </w:rPr>
        <w:t>”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Examinînd  nota informativă a specialistului  privind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stabilirea cotelor  concrete ale  impozitului  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 bunurile   imobiliare, aferente   bunurilor  imobiliare   neevaluate  de  către organele cadastrale  teritoriale   </w:t>
      </w:r>
      <w:r>
        <w:rPr>
          <w:rFonts w:ascii="Times New Roman" w:hAnsi="Times New Roman" w:cs="Times New Roman"/>
          <w:sz w:val="24"/>
          <w:szCs w:val="24"/>
          <w:lang w:val="ro-MO"/>
        </w:rPr>
        <w:t>pe  teritoriul pri</w:t>
      </w:r>
      <w:r>
        <w:rPr>
          <w:rFonts w:ascii="Times New Roman" w:hAnsi="Times New Roman" w:cs="Times New Roman"/>
          <w:sz w:val="24"/>
          <w:szCs w:val="24"/>
          <w:lang w:val="ro-RO"/>
        </w:rPr>
        <w:t>măriei</w:t>
      </w:r>
      <w:r w:rsidR="009B2805">
        <w:rPr>
          <w:rFonts w:ascii="Times New Roman" w:hAnsi="Times New Roman" w:cs="Times New Roman"/>
          <w:sz w:val="24"/>
          <w:szCs w:val="24"/>
          <w:lang w:val="ro-MO"/>
        </w:rPr>
        <w:t xml:space="preserve">  Frumoasa în anul 2018</w:t>
      </w:r>
      <w:r>
        <w:rPr>
          <w:rFonts w:ascii="Times New Roman" w:hAnsi="Times New Roman" w:cs="Times New Roman"/>
          <w:sz w:val="24"/>
          <w:szCs w:val="24"/>
          <w:lang w:val="ro-MO"/>
        </w:rPr>
        <w:t>”</w:t>
      </w:r>
    </w:p>
    <w:p w:rsidR="0026785D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 baza  prevederilor  </w:t>
      </w:r>
      <w:r>
        <w:rPr>
          <w:rFonts w:ascii="Times New Roman" w:hAnsi="Times New Roman" w:cs="Times New Roman"/>
          <w:sz w:val="24"/>
          <w:szCs w:val="24"/>
          <w:lang w:val="ro-MO"/>
        </w:rPr>
        <w:t>Codul fiscal  nr. 1163-XIII  din 24.04.1997,Legii  RM  nr.1056 –XIV  din  16.06.2000  „ Pentru  punerea  în  aplicare  a  Titlului  VI  al  Codului  Fiscal”. Legea nr.397-XV din 16.10.2003 privind Finanţele publice locale. Legii nr.436-XVI din 28 decembrie 2006 Privind administraţia publică locală, în conformitate cu art.14(2) lit.a), art.19 (4), art.22 (1)</w:t>
      </w:r>
      <w:r w:rsidR="0026785D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26785D" w:rsidRDefault="0026785D" w:rsidP="002678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</w:t>
      </w:r>
    </w:p>
    <w:p w:rsidR="00D27FD0" w:rsidRDefault="00D27FD0" w:rsidP="002678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În conformitate cu avizul  comisiei de specialitate  Economie  buget  și  finanțe.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CONSILIUL  SĂTESC   DECIDE: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1. Se stabilesc cotele   impozitului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  bunurile  imobiliare, aferente   bunurilor  imobiliare   </w:t>
      </w:r>
    </w:p>
    <w:tbl>
      <w:tblPr>
        <w:tblStyle w:val="a5"/>
        <w:tblpPr w:leftFromText="180" w:rightFromText="180" w:vertAnchor="text" w:horzAnchor="margin" w:tblpY="603"/>
        <w:tblW w:w="0" w:type="auto"/>
        <w:tblLook w:val="04A0"/>
      </w:tblPr>
      <w:tblGrid>
        <w:gridCol w:w="675"/>
        <w:gridCol w:w="4111"/>
        <w:gridCol w:w="4502"/>
      </w:tblGrid>
      <w:tr w:rsidR="00D27FD0" w:rsidTr="00D27F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D0" w:rsidRDefault="00D27FD0">
            <w:pPr>
              <w:tabs>
                <w:tab w:val="left" w:pos="6180"/>
              </w:tabs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D0" w:rsidRDefault="00D27FD0">
            <w:pPr>
              <w:tabs>
                <w:tab w:val="left" w:pos="6180"/>
              </w:tabs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 xml:space="preserve">  Tipul   obiectelor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D0" w:rsidRDefault="00D27FD0">
            <w:pPr>
              <w:tabs>
                <w:tab w:val="left" w:pos="6180"/>
              </w:tabs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 xml:space="preserve">    Cotele   concrete</w:t>
            </w:r>
          </w:p>
        </w:tc>
      </w:tr>
      <w:tr w:rsidR="00D27FD0" w:rsidRPr="00D3197F" w:rsidTr="00D27FD0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D0" w:rsidRDefault="00D27FD0">
            <w:pPr>
              <w:tabs>
                <w:tab w:val="left" w:pos="6180"/>
              </w:tabs>
              <w:rPr>
                <w:sz w:val="24"/>
                <w:szCs w:val="24"/>
                <w:lang w:val="ro-MO"/>
              </w:rPr>
            </w:pPr>
            <w:r>
              <w:rPr>
                <w:sz w:val="24"/>
                <w:szCs w:val="24"/>
                <w:lang w:val="ro-MO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D0" w:rsidRDefault="00D27FD0">
            <w:pPr>
              <w:tabs>
                <w:tab w:val="left" w:pos="6180"/>
              </w:tabs>
              <w:rPr>
                <w:sz w:val="24"/>
                <w:szCs w:val="24"/>
                <w:lang w:val="ro-MO"/>
              </w:rPr>
            </w:pPr>
            <w:r>
              <w:rPr>
                <w:sz w:val="24"/>
                <w:szCs w:val="24"/>
                <w:lang w:val="ro-MO"/>
              </w:rPr>
              <w:t>Pentru clădirile  şi  construcţiile  cu  destinaţie  agrigolă,  precum şi  pe  alte  bunuri  imobiliare, neevaluate  de  către  organele  cadastrale  conform  valorii  estimate.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D0" w:rsidRDefault="00D27FD0">
            <w:pPr>
              <w:tabs>
                <w:tab w:val="left" w:pos="6180"/>
              </w:tabs>
              <w:rPr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0,1%</w:t>
            </w:r>
            <w:r>
              <w:rPr>
                <w:sz w:val="24"/>
                <w:szCs w:val="24"/>
                <w:lang w:val="ro-MO"/>
              </w:rPr>
              <w:t xml:space="preserve">  din  valoarea  de  bilanţ  a  bunurilor  imobiliare  ale  persoanelor/ juridice  şi  fizice  care  desfăşoară  activitatea  de  întreprinzător.</w:t>
            </w:r>
          </w:p>
          <w:p w:rsidR="00D27FD0" w:rsidRDefault="00D27FD0">
            <w:pPr>
              <w:tabs>
                <w:tab w:val="left" w:pos="6180"/>
              </w:tabs>
              <w:rPr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0,1%</w:t>
            </w:r>
            <w:r>
              <w:rPr>
                <w:sz w:val="24"/>
                <w:szCs w:val="24"/>
                <w:lang w:val="ro-MO"/>
              </w:rPr>
              <w:t xml:space="preserve"> din costul  bunurilor  imobiliare  ale  persoanelor  fizice ( cetăţeni)</w:t>
            </w:r>
          </w:p>
        </w:tc>
      </w:tr>
      <w:tr w:rsidR="00D27FD0" w:rsidRPr="00D3197F" w:rsidTr="00D27FD0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D0" w:rsidRDefault="00D27FD0">
            <w:pPr>
              <w:tabs>
                <w:tab w:val="left" w:pos="6180"/>
              </w:tabs>
              <w:rPr>
                <w:sz w:val="24"/>
                <w:szCs w:val="24"/>
                <w:lang w:val="ro-MO"/>
              </w:rPr>
            </w:pPr>
            <w:r>
              <w:rPr>
                <w:sz w:val="24"/>
                <w:szCs w:val="24"/>
                <w:lang w:val="ro-MO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D0" w:rsidRDefault="00D27FD0">
            <w:pPr>
              <w:tabs>
                <w:tab w:val="left" w:pos="6180"/>
              </w:tabs>
              <w:rPr>
                <w:sz w:val="24"/>
                <w:szCs w:val="24"/>
                <w:lang w:val="ro-MO"/>
              </w:rPr>
            </w:pPr>
            <w:r>
              <w:rPr>
                <w:sz w:val="24"/>
                <w:szCs w:val="24"/>
                <w:lang w:val="ro-MO"/>
              </w:rPr>
              <w:t>Pentru  bunurilor  imobiliare  cu  destinaţie  locativă (apartamente  şi  case  de  locuit  individuale) din  localităţile  rurale.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D0" w:rsidRDefault="00D27FD0">
            <w:pPr>
              <w:tabs>
                <w:tab w:val="left" w:pos="6180"/>
              </w:tabs>
              <w:rPr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0,1%</w:t>
            </w:r>
            <w:r>
              <w:rPr>
                <w:sz w:val="24"/>
                <w:szCs w:val="24"/>
                <w:lang w:val="ro-MO"/>
              </w:rPr>
              <w:t xml:space="preserve"> din valoarea  de  bilanţ a bunurilor imobiliare ale persoanelor/juridice  şi  fizice  care  desfăşoară  activitatea  de  întreprinzător.</w:t>
            </w:r>
          </w:p>
          <w:p w:rsidR="00D27FD0" w:rsidRDefault="00D27FD0">
            <w:pPr>
              <w:tabs>
                <w:tab w:val="left" w:pos="6180"/>
              </w:tabs>
              <w:rPr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0,1%</w:t>
            </w:r>
            <w:r>
              <w:rPr>
                <w:sz w:val="24"/>
                <w:szCs w:val="24"/>
                <w:lang w:val="ro-MO"/>
              </w:rPr>
              <w:t xml:space="preserve"> din costul  bunurilor  imobiliare ale  persoanelor fizice ( cetăţeni)</w:t>
            </w:r>
          </w:p>
        </w:tc>
      </w:tr>
    </w:tbl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neevaluate  de către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organele cadastrale  teritoriale  </w:t>
      </w:r>
      <w:r>
        <w:rPr>
          <w:rFonts w:ascii="Times New Roman" w:hAnsi="Times New Roman" w:cs="Times New Roman"/>
          <w:sz w:val="24"/>
          <w:szCs w:val="24"/>
          <w:lang w:val="ro-MO"/>
        </w:rPr>
        <w:t>pe teritoriul pri</w:t>
      </w:r>
      <w:r>
        <w:rPr>
          <w:rFonts w:ascii="Times New Roman" w:hAnsi="Times New Roman" w:cs="Times New Roman"/>
          <w:sz w:val="24"/>
          <w:szCs w:val="24"/>
          <w:lang w:val="ro-RO"/>
        </w:rPr>
        <w:t>măriei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pentru  anul 201</w:t>
      </w:r>
      <w:r w:rsidR="009B2805">
        <w:rPr>
          <w:rFonts w:ascii="Times New Roman" w:hAnsi="Times New Roman" w:cs="Times New Roman"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D27FD0" w:rsidRDefault="00D27FD0" w:rsidP="00D27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Notă: În  cazulrile  în  care  suprafaţa  toatlă  a  locuinţelor  şi  a  construcţiilor  principale  ale  persoanelor  fizice  care  nu  desfăşoară  activitate  de  întreprinzător, înregistrate  cu  drept  de  proprietate, depăşeşte  100</w:t>
      </w:r>
      <w:r w:rsidR="009B2805"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>m2 inclusiv, cotele  concrete  stabilite  ale  impozitului  pe  bunurile  imobiliare  se  majorează  în  funcţie  de  suprafaţa  totală, după  cum  urmează.</w:t>
      </w:r>
    </w:p>
    <w:p w:rsidR="00D27FD0" w:rsidRDefault="00D27FD0" w:rsidP="00D27FD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>--- de la  100  la  150m2  inclusiv  - de  1,5  ori</w:t>
      </w:r>
    </w:p>
    <w:p w:rsidR="00D27FD0" w:rsidRDefault="00D27FD0" w:rsidP="00D27FD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>--- de  la 150  la  200 m2  inclusiv  - de 2  ori</w:t>
      </w:r>
    </w:p>
    <w:p w:rsidR="00D27FD0" w:rsidRDefault="00D27FD0" w:rsidP="00D27FD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>---de  la  200  la  300m2  inclusiv – de  10 ori</w:t>
      </w:r>
    </w:p>
    <w:p w:rsidR="00D27FD0" w:rsidRDefault="00D27FD0" w:rsidP="00D27FD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>--- peste  300 m2  -  de  15  ori.</w:t>
      </w:r>
    </w:p>
    <w:p w:rsidR="009B2805" w:rsidRDefault="009B2805" w:rsidP="00D27FD0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3. Controlul asupra executării prezentei decizii se atribuie primarului satului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>S-a votat: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9B2805">
        <w:rPr>
          <w:rFonts w:ascii="Times New Roman" w:hAnsi="Times New Roman" w:cs="Times New Roman"/>
          <w:sz w:val="24"/>
          <w:szCs w:val="24"/>
          <w:lang w:val="ro-MO"/>
        </w:rPr>
        <w:t>Pentru -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 w:rsidR="00521E82">
        <w:rPr>
          <w:rFonts w:ascii="Times New Roman" w:hAnsi="Times New Roman" w:cs="Times New Roman"/>
          <w:sz w:val="24"/>
          <w:szCs w:val="24"/>
          <w:lang w:val="ro-MO"/>
        </w:rPr>
        <w:t>7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; </w:t>
      </w:r>
      <w:r w:rsidR="00521E82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Împotrivă –   0 ; S-au abţinut –   0  .      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</w:t>
      </w:r>
    </w:p>
    <w:p w:rsidR="00D27FD0" w:rsidRDefault="00521E82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521E82" w:rsidRDefault="00521E82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521E82" w:rsidRDefault="00521E82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521E82" w:rsidRDefault="00521E82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B2805" w:rsidRDefault="00521E82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</w:t>
      </w:r>
      <w:r w:rsidR="00D27FD0">
        <w:rPr>
          <w:rFonts w:ascii="Times New Roman" w:hAnsi="Times New Roman" w:cs="Times New Roman"/>
          <w:sz w:val="24"/>
          <w:szCs w:val="24"/>
          <w:lang w:val="ro-MO"/>
        </w:rPr>
        <w:t xml:space="preserve">  Preşedintele  şedinţei :              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Ciobanu  Nina</w:t>
      </w:r>
      <w:r w:rsidR="00D27FD0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</w:p>
    <w:p w:rsidR="009B2805" w:rsidRDefault="009B2805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Contrasemnează: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</w:t>
      </w:r>
    </w:p>
    <w:p w:rsidR="00D27FD0" w:rsidRDefault="00521E82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</w:t>
      </w:r>
      <w:r w:rsidR="00D27FD0">
        <w:rPr>
          <w:rFonts w:ascii="Times New Roman" w:hAnsi="Times New Roman" w:cs="Times New Roman"/>
          <w:sz w:val="24"/>
          <w:szCs w:val="24"/>
          <w:lang w:val="ro-MO"/>
        </w:rPr>
        <w:t xml:space="preserve">Secretarul consiliului :      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27FD0">
        <w:rPr>
          <w:rFonts w:ascii="Times New Roman" w:hAnsi="Times New Roman" w:cs="Times New Roman"/>
          <w:sz w:val="24"/>
          <w:szCs w:val="24"/>
          <w:lang w:val="ro-MO"/>
        </w:rPr>
        <w:t xml:space="preserve">          Olaru  Tatiana.</w:t>
      </w:r>
    </w:p>
    <w:p w:rsidR="00D27FD0" w:rsidRDefault="00D27FD0" w:rsidP="009B28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B2805" w:rsidRDefault="009B2805" w:rsidP="00D27F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MO"/>
        </w:rPr>
      </w:pPr>
    </w:p>
    <w:p w:rsidR="009B2805" w:rsidRDefault="009B2805" w:rsidP="00D27F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MO"/>
        </w:rPr>
      </w:pPr>
    </w:p>
    <w:p w:rsidR="009B2805" w:rsidRDefault="009B2805" w:rsidP="00D27F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MO"/>
        </w:rPr>
      </w:pPr>
    </w:p>
    <w:p w:rsidR="009B2805" w:rsidRDefault="009B2805" w:rsidP="00D27F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MO"/>
        </w:rPr>
      </w:pPr>
    </w:p>
    <w:p w:rsidR="009B2805" w:rsidRDefault="009B2805" w:rsidP="00D27F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MO"/>
        </w:rPr>
      </w:pPr>
    </w:p>
    <w:p w:rsidR="009B2805" w:rsidRDefault="009B2805" w:rsidP="00D27F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MO"/>
        </w:rPr>
      </w:pPr>
    </w:p>
    <w:p w:rsidR="009B2805" w:rsidRDefault="009B2805" w:rsidP="00D27F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sz w:val="20"/>
          <w:szCs w:val="20"/>
          <w:lang w:val="ro-MO"/>
        </w:rPr>
        <w:t>Ex. Negară  Ecaterina</w:t>
      </w:r>
    </w:p>
    <w:p w:rsidR="00D27FD0" w:rsidRPr="009B2805" w:rsidRDefault="00D27FD0" w:rsidP="00D27FD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</w:t>
      </w:r>
      <w:r w:rsidR="009B2805">
        <w:rPr>
          <w:rFonts w:ascii="Times New Roman" w:hAnsi="Times New Roman" w:cs="Times New Roman"/>
          <w:sz w:val="20"/>
          <w:szCs w:val="20"/>
          <w:lang w:val="ro-RO"/>
        </w:rPr>
        <w:t>-38-036</w:t>
      </w: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D27FD0" w:rsidRDefault="00D27FD0" w:rsidP="00D27F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A7DF6" w:rsidRPr="00D27FD0" w:rsidRDefault="00BA7DF6">
      <w:pPr>
        <w:rPr>
          <w:lang w:val="en-US"/>
        </w:rPr>
      </w:pPr>
    </w:p>
    <w:sectPr w:rsidR="00BA7DF6" w:rsidRPr="00D27FD0" w:rsidSect="009B2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FD0"/>
    <w:rsid w:val="000E50CC"/>
    <w:rsid w:val="001D630D"/>
    <w:rsid w:val="0026785D"/>
    <w:rsid w:val="00267D80"/>
    <w:rsid w:val="002E6CEB"/>
    <w:rsid w:val="00333588"/>
    <w:rsid w:val="00521E82"/>
    <w:rsid w:val="006403FF"/>
    <w:rsid w:val="009B2805"/>
    <w:rsid w:val="00BA7DF6"/>
    <w:rsid w:val="00BF60B6"/>
    <w:rsid w:val="00CF7157"/>
    <w:rsid w:val="00D27FD0"/>
    <w:rsid w:val="00D3197F"/>
    <w:rsid w:val="00E2749C"/>
    <w:rsid w:val="00F4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7F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D27FD0"/>
    <w:rPr>
      <w:rFonts w:ascii="Times New Roman" w:eastAsia="Times New Roman" w:hAnsi="Times New Roman" w:cs="Times New Roman"/>
      <w:sz w:val="28"/>
      <w:szCs w:val="32"/>
      <w:lang w:eastAsia="ru-RU"/>
    </w:rPr>
  </w:style>
  <w:style w:type="table" w:styleId="a5">
    <w:name w:val="Table Grid"/>
    <w:basedOn w:val="a1"/>
    <w:rsid w:val="00D27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FD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dcterms:created xsi:type="dcterms:W3CDTF">2017-10-19T06:32:00Z</dcterms:created>
  <dcterms:modified xsi:type="dcterms:W3CDTF">2017-12-14T12:39:00Z</dcterms:modified>
</cp:coreProperties>
</file>